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88" w:rsidRPr="00243188" w:rsidRDefault="00243188" w:rsidP="00243188">
      <w:pPr>
        <w:widowControl/>
        <w:ind w:firstLineChars="700" w:firstLine="1540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>110</w:t>
      </w:r>
      <w:r w:rsidRPr="0024318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>年第一季及一月盤價新聞稿發佈日期：2020/12/11</w:t>
      </w:r>
    </w:p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中鋼公司一○九年十二月十一日召開明(一一○)年第一季及一月份內銷鋼品盤價會議，會中決議：</w:t>
      </w:r>
    </w:p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隨新冠肺炎病毒（COVID-19）疫苗研發成功問世、美國總統選舉塵埃落定及各國政府持續實施振興紓困方案，並受惠資金充沛與產業復甦，全球經濟活動已逐漸恢復步入正軌。OECD展望明(110)年全球經濟成長率4.2%，其中中國大陸成長8%、歐元區3.6%、美國3.2%。我國國內則受益於公共工程釋出、台商回流投資與資金活絡，以及外銷市場持續轉強下，行政院主計處樂觀預估110年經濟成長率可達3.83%，優於今年的2.54%。</w:t>
      </w:r>
    </w:p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在世界各國製造業動能快速復甦下，今年10月份全球汽車銷售量年增2.3%，其中日本及中國大陸分別增加28.8%、10.4%；美國新屋10月份銷售量季調年率逼近99.9萬戶，觸及歷史高點，較去年同期增加41.5%。在車市與房市表現顯著好轉下，台灣今年10月外銷總金額為516億美元，續創歷史新高，其中基本金屬年增11.5%，為連續五個月出現正成長；展望明年第一季可望接續今年第四季產銷兩旺之氣勢，除宅經濟概念之健身器材、通訊及電子商品持續熱銷外，營建、汽機車、家電與綠能主要相關用鋼產業亦表現亮眼。</w:t>
      </w:r>
    </w:p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今年三月以來國際鋼廠陸續因疫情衝擊而檢修減產，加以物流不順、冬季環保限產、鋼廠意外頻傳等心理及實質面影響，供給面臨大幅緊縮，然今年下半年下游產業需求恢復速度優於預期，庫存水位快速下滑，追補庫存及提前交貨需求不斷。加上多國製造業採購經理人指數(PMI)持續創新高，部分產業甚至回到疫情前的高點，整體鋼鐵需求在第四季呈現V型反轉，全球鋼市已出現嚴重供不應求的搶料盛況。</w:t>
      </w:r>
    </w:p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行情方面，鐵礦砂價格在鋼市表現強勁下，飆升至158美元/公噸，創下逾7年新高，煤礦價格亦處高檔，已大幅墊高鋼品生產成本。其中，主力產品熱軋價格近期急遽攀升，美國上看1,000美元/公噸，歐洲突破700美元/公噸，反觀東南亞、大陸與台灣市場目前進口報價僅約650美元/公噸左右，顯示亞洲熱軋價格存有大幅補漲空間。寶武鋼1月交期新盤熱軋、線材皆大漲400人民幣/公噸(約61美元/公噸)，其他產品漲幅更達500~800人民幣/公噸(約77~123美元/公噸)，預期越南河靜鋼廠亦將大幅調漲以反映煉鋼成本及市場行情走勢。</w:t>
      </w:r>
    </w:p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面對110年新局挑戰，中鋼公司本次新年盤價，為適度反映煉鋼原物料價格高漲及國際鋼價飆升，並兼顧新台幣與競爭對手之相對匯差與鋼鐵下游產業的接單競爭力，亦考量各行業與季/月盤產品之特性，續採順勢穩健之基調開出一一○年第一季及一月份盤價，全體平均調幅6.1%(1,200~1,500元/公噸)，以蓄積後續市場成長動能。</w:t>
      </w:r>
    </w:p>
    <w:p w:rsidR="00243188" w:rsidRPr="00243188" w:rsidRDefault="006B74FF" w:rsidP="006B74FF">
      <w:pPr>
        <w:widowControl/>
        <w:ind w:firstLineChars="600" w:firstLine="1140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110</w:t>
      </w:r>
      <w:r w:rsidR="00243188"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年第一季季盤與一月份月盤各項鋼品基價調漲金額詳下表。</w:t>
      </w:r>
    </w:p>
    <w:p w:rsidR="00243188" w:rsidRPr="00243188" w:rsidRDefault="00243188" w:rsidP="00243188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r w:rsidRPr="00243188"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  <w:t>中鋼公司一一○年第一季/一月份各項鋼品內銷基價調整金額:</w:t>
      </w:r>
    </w:p>
    <w:tbl>
      <w:tblPr>
        <w:tblW w:w="0" w:type="auto"/>
        <w:jc w:val="center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3812"/>
        <w:gridCol w:w="3814"/>
      </w:tblGrid>
      <w:tr w:rsidR="00243188" w:rsidRPr="00243188" w:rsidTr="00243188">
        <w:trPr>
          <w:tblCellSpacing w:w="0" w:type="dxa"/>
          <w:jc w:val="center"/>
        </w:trPr>
        <w:tc>
          <w:tcPr>
            <w:tcW w:w="750" w:type="dxa"/>
            <w:vMerge w:val="restar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1Q</w:t>
            </w:r>
            <w:r w:rsidRPr="0024318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季盤</w:t>
            </w:r>
            <w:r w:rsidRPr="0024318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產品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F6600"/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項目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F6600"/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平均調整金額(新台幣/公噸)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鋼板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熱軋鋼板(中高碳、工具鋼)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棒線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熱軋鋼捲(中高碳、工具鋼)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冷軋鋼捲(製桶)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冷軋鋼捲(中高碳、工具鋼)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電鍍鋅鋼捲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1,200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熱浸鍍鋅鋼捲 (家電、電腦、其他料)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1,500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汽車料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1,200</w:t>
            </w:r>
          </w:p>
        </w:tc>
      </w:tr>
    </w:tbl>
    <w:p w:rsidR="00243188" w:rsidRPr="00243188" w:rsidRDefault="00243188" w:rsidP="00243188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 w:val="19"/>
          <w:szCs w:val="19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3813"/>
        <w:gridCol w:w="3816"/>
      </w:tblGrid>
      <w:tr w:rsidR="00243188" w:rsidRPr="00243188" w:rsidTr="00243188">
        <w:trPr>
          <w:tblCellSpacing w:w="0" w:type="dxa"/>
          <w:jc w:val="center"/>
        </w:trPr>
        <w:tc>
          <w:tcPr>
            <w:tcW w:w="750" w:type="dxa"/>
            <w:vMerge w:val="restar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1月</w:t>
            </w:r>
            <w:r w:rsidRPr="0024318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月盤</w:t>
            </w:r>
            <w:r w:rsidRPr="0024318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  <w:t>產品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F6600"/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項目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FF6600"/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平均調整金額(新台幣/公噸)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熱軋鋼板(一般料)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1,200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熱軋鋼捲(軋延料)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1,400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熱軋鋼捲(一般料)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1,200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冷軋鋼捲(一般料)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1,200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電磁鋼捲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1,400</w:t>
            </w:r>
          </w:p>
        </w:tc>
      </w:tr>
      <w:tr w:rsidR="00243188" w:rsidRPr="00243188" w:rsidTr="002431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243188" w:rsidRPr="00243188" w:rsidRDefault="00243188" w:rsidP="002431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熱浸鍍鋅鋼捲(建材、烤漆料)</w:t>
            </w:r>
          </w:p>
        </w:tc>
        <w:tc>
          <w:tcPr>
            <w:tcW w:w="4140" w:type="dxa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bottom"/>
            <w:hideMark/>
          </w:tcPr>
          <w:p w:rsidR="00243188" w:rsidRPr="00243188" w:rsidRDefault="00243188" w:rsidP="0024318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188">
              <w:rPr>
                <w:rFonts w:ascii="新細明體" w:eastAsia="新細明體" w:hAnsi="新細明體" w:cs="新細明體"/>
                <w:kern w:val="0"/>
                <w:szCs w:val="24"/>
              </w:rPr>
              <w:t>1,400</w:t>
            </w:r>
          </w:p>
        </w:tc>
      </w:tr>
    </w:tbl>
    <w:p w:rsidR="00F312FC" w:rsidRDefault="00F312FC"/>
    <w:sectPr w:rsidR="00F312FC" w:rsidSect="00F31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67" w:rsidRDefault="00274F67" w:rsidP="00142353">
      <w:r>
        <w:separator/>
      </w:r>
    </w:p>
  </w:endnote>
  <w:endnote w:type="continuationSeparator" w:id="1">
    <w:p w:rsidR="00274F67" w:rsidRDefault="00274F67" w:rsidP="0014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67" w:rsidRDefault="00274F67" w:rsidP="00142353">
      <w:r>
        <w:separator/>
      </w:r>
    </w:p>
  </w:footnote>
  <w:footnote w:type="continuationSeparator" w:id="1">
    <w:p w:rsidR="00274F67" w:rsidRDefault="00274F67" w:rsidP="0014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188"/>
    <w:rsid w:val="00142353"/>
    <w:rsid w:val="00243188"/>
    <w:rsid w:val="00274F67"/>
    <w:rsid w:val="006B74FF"/>
    <w:rsid w:val="00E51C17"/>
    <w:rsid w:val="00F3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1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"/>
    <w:rsid w:val="002431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4318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2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235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2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23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20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single" w:sz="48" w:space="0" w:color="FFA200"/>
            <w:right w:val="none" w:sz="0" w:space="0" w:color="auto"/>
          </w:divBdr>
        </w:div>
        <w:div w:id="1551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dcterms:created xsi:type="dcterms:W3CDTF">2020-12-11T08:07:00Z</dcterms:created>
  <dcterms:modified xsi:type="dcterms:W3CDTF">2020-12-11T08:07:00Z</dcterms:modified>
</cp:coreProperties>
</file>